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1B" w:rsidRPr="0026267B" w:rsidRDefault="00524D1B" w:rsidP="00524D1B">
      <w:pPr>
        <w:jc w:val="right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Ձև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2)</w:t>
      </w:r>
    </w:p>
    <w:p w:rsidR="00524D1B" w:rsidRPr="0026267B" w:rsidRDefault="00524D1B" w:rsidP="00524D1B">
      <w:pPr>
        <w:jc w:val="center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Օֆերտայի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նամակ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>
        <w:rPr>
          <w:rFonts w:ascii="GHEA Grapalat" w:hAnsi="GHEA Grapalat" w:cs="Arial"/>
          <w:sz w:val="22"/>
          <w:szCs w:val="22"/>
          <w:lang w:eastAsia="ru-RU"/>
        </w:rPr>
        <w:t>ամսաթիվ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№________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Հարգելի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Պարոնայք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Ուսումնասիրելով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Գնային առաջարկների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անցկացման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Ծանուցագիրը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որը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հրապարակվել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>
        <w:rPr>
          <w:rFonts w:ascii="GHEA Grapalat" w:hAnsi="GHEA Grapalat" w:cs="Arial"/>
          <w:sz w:val="22"/>
          <w:szCs w:val="22"/>
          <w:lang w:eastAsia="ru-RU"/>
        </w:rPr>
        <w:t>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Ազգային Հիփոթեքային Ընկերություն</w:t>
      </w:r>
      <w:r>
        <w:rPr>
          <w:rFonts w:ascii="GHEA Grapalat" w:hAnsi="GHEA Grapalat" w:cs="Arial"/>
          <w:sz w:val="22"/>
          <w:szCs w:val="22"/>
          <w:lang w:eastAsia="ru-RU"/>
        </w:rPr>
        <w:t>»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ՎՎԿ ՓԲԸ-ն www.nmc.am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կայքում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Գնային առաջարկների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ընդունելով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դրանցում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ամրագրված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Գնային առաջարկների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պահանջները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`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_____________________________________________________________________,</w:t>
      </w: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անվանումը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նշելով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կազմակերպաիրավական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ձևը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գրանցված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_____________________________________________________________________,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իրավաբանական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հասցեն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Ցանկանում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մասնակցել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ԳՆՀ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գործընթացին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հետևյալ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ապրանքների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մատակարարման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Պայմանագրի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կնքման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Գնային առաջարկով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.</w:t>
      </w:r>
    </w:p>
    <w:p w:rsidR="00B17990" w:rsidRPr="0026267B" w:rsidRDefault="00B17990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>
        <w:rPr>
          <w:rFonts w:ascii="GHEA Grapalat" w:hAnsi="GHEA Grapalat" w:cs="Arial"/>
          <w:sz w:val="22"/>
          <w:szCs w:val="22"/>
          <w:lang w:eastAsia="ru-RU"/>
        </w:rPr>
        <w:t>Q</w:t>
      </w:r>
      <w:r w:rsidR="000161CA">
        <w:rPr>
          <w:rFonts w:ascii="GHEA Grapalat" w:hAnsi="GHEA Grapalat" w:cs="Arial"/>
          <w:sz w:val="22"/>
          <w:szCs w:val="22"/>
          <w:lang w:eastAsia="ru-RU"/>
        </w:rPr>
        <w:t>NAP</w:t>
      </w:r>
      <w:bookmarkStart w:id="0" w:name="_GoBack"/>
      <w:bookmarkEnd w:id="0"/>
    </w:p>
    <w:tbl>
      <w:tblPr>
        <w:tblStyle w:val="TableGrid"/>
        <w:tblW w:w="10752" w:type="dxa"/>
        <w:tblInd w:w="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7882"/>
      </w:tblGrid>
      <w:tr w:rsidR="00B17990" w:rsidTr="00B17990">
        <w:trPr>
          <w:trHeight w:val="600"/>
        </w:trPr>
        <w:tc>
          <w:tcPr>
            <w:tcW w:w="2870" w:type="dxa"/>
            <w:tcBorders>
              <w:top w:val="single" w:sz="6" w:space="0" w:color="F3F3F3"/>
              <w:left w:val="single" w:sz="6" w:space="0" w:color="F3F3F3"/>
              <w:bottom w:val="nil"/>
              <w:right w:val="nil"/>
            </w:tcBorders>
            <w:shd w:val="clear" w:color="auto" w:fill="DDDDDD"/>
            <w:vAlign w:val="center"/>
            <w:hideMark/>
          </w:tcPr>
          <w:p w:rsidR="00B17990" w:rsidRDefault="00B17990">
            <w:pPr>
              <w:ind w:left="123"/>
              <w:rPr>
                <w:rFonts w:ascii="Microsoft JhengHei UI" w:hAnsi="Microsoft JhengHei UI"/>
                <w:sz w:val="17"/>
                <w:szCs w:val="22"/>
              </w:rPr>
            </w:pPr>
            <w:r>
              <w:rPr>
                <w:rFonts w:hint="eastAsia"/>
                <w:sz w:val="27"/>
              </w:rPr>
              <w:t>TS-432PXU-RP-2G</w:t>
            </w:r>
          </w:p>
        </w:tc>
        <w:tc>
          <w:tcPr>
            <w:tcW w:w="7882" w:type="dxa"/>
            <w:tcBorders>
              <w:top w:val="single" w:sz="6" w:space="0" w:color="F3F3F3"/>
              <w:left w:val="nil"/>
              <w:bottom w:val="nil"/>
              <w:right w:val="single" w:sz="6" w:space="0" w:color="F3F3F3"/>
            </w:tcBorders>
            <w:shd w:val="clear" w:color="auto" w:fill="DDDDDD"/>
          </w:tcPr>
          <w:p w:rsidR="00B17990" w:rsidRDefault="00B17990">
            <w:pPr>
              <w:spacing w:after="160"/>
            </w:pPr>
          </w:p>
        </w:tc>
      </w:tr>
      <w:tr w:rsidR="00B17990" w:rsidTr="00B17990">
        <w:trPr>
          <w:trHeight w:val="761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CPU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AnnapurnaLabs Alpine AL324 64-bit ARM® Cortex-A57 quad-core 1.7GHz processor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CPU Architecture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shd w:val="clear" w:color="auto" w:fill="F3F3F3"/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64-bit ARM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System Memory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2 GB UDIMM DDR4 (1 x 2 GB)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Maximum Memory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shd w:val="clear" w:color="auto" w:fill="F3F3F3"/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16 GB (1 x 16 GB)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Memory Slot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1 x Long-DIMM DDR4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Flash Memory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shd w:val="clear" w:color="auto" w:fill="F3F3F3"/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512 MB (Dual boot OS protection)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Drive Bay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4 x 3.5" SATA 6Gb/s, 3Gb/s</w:t>
            </w:r>
          </w:p>
        </w:tc>
      </w:tr>
      <w:tr w:rsidR="00B17990" w:rsidTr="00B17990">
        <w:trPr>
          <w:trHeight w:val="1283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shd w:val="clear" w:color="auto" w:fill="F3F3F3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Drive Compatibility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shd w:val="clear" w:color="auto" w:fill="F3F3F3"/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3.5-inch bays:</w:t>
            </w:r>
          </w:p>
          <w:p w:rsidR="00B17990" w:rsidRDefault="00B17990">
            <w:r>
              <w:rPr>
                <w:rFonts w:hint="eastAsia"/>
                <w:sz w:val="19"/>
              </w:rPr>
              <w:t>3.5-inch SATA hard disk drives</w:t>
            </w:r>
          </w:p>
          <w:p w:rsidR="00B17990" w:rsidRDefault="00B17990">
            <w:r>
              <w:rPr>
                <w:rFonts w:hint="eastAsia"/>
                <w:sz w:val="19"/>
              </w:rPr>
              <w:t>2.5-inch SATA hard disk drives</w:t>
            </w:r>
          </w:p>
          <w:p w:rsidR="00B17990" w:rsidRDefault="00B17990">
            <w:r>
              <w:rPr>
                <w:rFonts w:hint="eastAsia"/>
                <w:sz w:val="19"/>
              </w:rPr>
              <w:t>2.5-inch SATA solid state drives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Hot-swappable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Yes</w:t>
            </w:r>
          </w:p>
        </w:tc>
      </w:tr>
      <w:tr w:rsidR="00B17990" w:rsidTr="00B17990">
        <w:trPr>
          <w:trHeight w:val="860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shd w:val="clear" w:color="auto" w:fill="F3F3F3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lastRenderedPageBreak/>
              <w:t>M.2 SSD Slot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shd w:val="clear" w:color="auto" w:fill="F3F3F3"/>
            <w:hideMark/>
          </w:tcPr>
          <w:p w:rsidR="00B17990" w:rsidRDefault="00B17990">
            <w:r>
              <w:rPr>
                <w:rFonts w:hint="eastAsia"/>
                <w:sz w:val="19"/>
              </w:rPr>
              <w:t>Optional via a PCIe adapter</w:t>
            </w:r>
          </w:p>
        </w:tc>
      </w:tr>
      <w:tr w:rsidR="00B17990" w:rsidTr="00B17990">
        <w:trPr>
          <w:trHeight w:val="761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SSD Cache Acceleration Support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hideMark/>
          </w:tcPr>
          <w:p w:rsidR="00B17990" w:rsidRDefault="00B17990">
            <w:r>
              <w:rPr>
                <w:rFonts w:hint="eastAsia"/>
                <w:sz w:val="19"/>
              </w:rPr>
              <w:t>Yes</w:t>
            </w:r>
          </w:p>
        </w:tc>
      </w:tr>
      <w:tr w:rsidR="00B17990" w:rsidTr="00B17990">
        <w:trPr>
          <w:trHeight w:val="761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2.5 Gigabit Ethernet Port</w:t>
            </w:r>
          </w:p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(2.5G/1G/100M)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shd w:val="clear" w:color="auto" w:fill="F3F3F3"/>
            <w:hideMark/>
          </w:tcPr>
          <w:p w:rsidR="00B17990" w:rsidRDefault="00B17990">
            <w:r>
              <w:rPr>
                <w:rFonts w:hint="eastAsia"/>
                <w:sz w:val="19"/>
              </w:rPr>
              <w:t>2 (also support 10M)</w:t>
            </w:r>
          </w:p>
        </w:tc>
      </w:tr>
      <w:tr w:rsidR="00B17990" w:rsidTr="00B17990">
        <w:trPr>
          <w:trHeight w:val="499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vAlign w:val="center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10 Gigabit Ethernet Port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2 x 10GbE SFP+</w:t>
            </w:r>
          </w:p>
        </w:tc>
      </w:tr>
      <w:tr w:rsidR="00B17990" w:rsidTr="00B17990">
        <w:trPr>
          <w:trHeight w:val="761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shd w:val="clear" w:color="auto" w:fill="F3F3F3"/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PCIe Slot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shd w:val="clear" w:color="auto" w:fill="F3F3F3"/>
            <w:vAlign w:val="center"/>
            <w:hideMark/>
          </w:tcPr>
          <w:p w:rsidR="00B17990" w:rsidRDefault="00B17990">
            <w:r>
              <w:rPr>
                <w:rFonts w:hint="eastAsia"/>
                <w:sz w:val="19"/>
              </w:rPr>
              <w:t>1</w:t>
            </w:r>
          </w:p>
          <w:p w:rsidR="00B17990" w:rsidRDefault="00B17990">
            <w:r>
              <w:rPr>
                <w:rFonts w:hint="eastAsia"/>
                <w:sz w:val="19"/>
              </w:rPr>
              <w:t>Slot 1: PCIe Gen 2 x2</w:t>
            </w:r>
          </w:p>
        </w:tc>
      </w:tr>
      <w:tr w:rsidR="00B17990" w:rsidTr="00B17990">
        <w:trPr>
          <w:trHeight w:val="684"/>
        </w:trPr>
        <w:tc>
          <w:tcPr>
            <w:tcW w:w="2870" w:type="dxa"/>
            <w:tcBorders>
              <w:top w:val="nil"/>
              <w:left w:val="single" w:sz="6" w:space="0" w:color="F3F3F3"/>
              <w:bottom w:val="nil"/>
              <w:right w:val="nil"/>
            </w:tcBorders>
            <w:hideMark/>
          </w:tcPr>
          <w:p w:rsidR="00B17990" w:rsidRDefault="00B17990">
            <w:pPr>
              <w:ind w:left="123"/>
            </w:pPr>
            <w:r>
              <w:rPr>
                <w:rFonts w:hint="eastAsia"/>
                <w:sz w:val="19"/>
              </w:rPr>
              <w:t>USB 3.2 Gen 1 port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single" w:sz="6" w:space="0" w:color="F3F3F3"/>
            </w:tcBorders>
            <w:hideMark/>
          </w:tcPr>
          <w:p w:rsidR="00B17990" w:rsidRDefault="00B17990">
            <w:r>
              <w:rPr>
                <w:rFonts w:hint="eastAsia"/>
                <w:sz w:val="19"/>
              </w:rPr>
              <w:t>4</w:t>
            </w:r>
          </w:p>
        </w:tc>
      </w:tr>
      <w:tr w:rsidR="00B17990" w:rsidTr="00B17990">
        <w:trPr>
          <w:trHeight w:val="499"/>
        </w:trPr>
        <w:tc>
          <w:tcPr>
            <w:tcW w:w="10752" w:type="dxa"/>
            <w:gridSpan w:val="2"/>
            <w:tcBorders>
              <w:top w:val="nil"/>
              <w:left w:val="single" w:sz="6" w:space="0" w:color="F3F3F3"/>
              <w:bottom w:val="nil"/>
              <w:right w:val="single" w:sz="6" w:space="0" w:color="F3F3F3"/>
            </w:tcBorders>
            <w:shd w:val="clear" w:color="auto" w:fill="F3F3F3"/>
            <w:vAlign w:val="center"/>
            <w:hideMark/>
          </w:tcPr>
          <w:p w:rsidR="00B17990" w:rsidRDefault="00B17990">
            <w:pPr>
              <w:tabs>
                <w:tab w:val="center" w:pos="3553"/>
              </w:tabs>
            </w:pPr>
            <w:r>
              <w:rPr>
                <w:rFonts w:hint="eastAsia"/>
                <w:sz w:val="19"/>
              </w:rPr>
              <w:t>Form Factor</w:t>
            </w:r>
            <w:r>
              <w:rPr>
                <w:rFonts w:hint="eastAsia"/>
                <w:sz w:val="19"/>
              </w:rPr>
              <w:tab/>
              <w:t>1U Rackmount</w:t>
            </w:r>
          </w:p>
        </w:tc>
      </w:tr>
      <w:tr w:rsidR="00B17990" w:rsidTr="00B17990">
        <w:trPr>
          <w:trHeight w:val="499"/>
        </w:trPr>
        <w:tc>
          <w:tcPr>
            <w:tcW w:w="10752" w:type="dxa"/>
            <w:gridSpan w:val="2"/>
            <w:tcBorders>
              <w:top w:val="nil"/>
              <w:left w:val="single" w:sz="6" w:space="0" w:color="F3F3F3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pPr>
              <w:tabs>
                <w:tab w:val="center" w:pos="4769"/>
              </w:tabs>
            </w:pPr>
            <w:r>
              <w:rPr>
                <w:rFonts w:hint="eastAsia"/>
                <w:sz w:val="19"/>
              </w:rPr>
              <w:t>LED Indicators</w:t>
            </w:r>
            <w:r>
              <w:rPr>
                <w:rFonts w:hint="eastAsia"/>
                <w:sz w:val="19"/>
              </w:rPr>
              <w:tab/>
              <w:t>HDD 1-4, Status, LAN, Storage expansion</w:t>
            </w:r>
          </w:p>
        </w:tc>
      </w:tr>
      <w:tr w:rsidR="00B17990" w:rsidTr="00B17990">
        <w:trPr>
          <w:trHeight w:val="499"/>
        </w:trPr>
        <w:tc>
          <w:tcPr>
            <w:tcW w:w="10752" w:type="dxa"/>
            <w:gridSpan w:val="2"/>
            <w:tcBorders>
              <w:top w:val="nil"/>
              <w:left w:val="single" w:sz="6" w:space="0" w:color="F3F3F3"/>
              <w:bottom w:val="nil"/>
              <w:right w:val="single" w:sz="6" w:space="0" w:color="F3F3F3"/>
            </w:tcBorders>
            <w:vAlign w:val="center"/>
            <w:hideMark/>
          </w:tcPr>
          <w:p w:rsidR="00B17990" w:rsidRDefault="00B17990">
            <w:pPr>
              <w:tabs>
                <w:tab w:val="center" w:pos="4100"/>
              </w:tabs>
            </w:pPr>
            <w:r>
              <w:rPr>
                <w:rFonts w:hint="eastAsia"/>
                <w:sz w:val="19"/>
              </w:rPr>
              <w:t>Power Supply Unit</w:t>
            </w:r>
            <w:r>
              <w:rPr>
                <w:rFonts w:hint="eastAsia"/>
                <w:sz w:val="19"/>
              </w:rPr>
              <w:tab/>
              <w:t>250W (x2) PSU, 100 - 240V</w:t>
            </w:r>
          </w:p>
        </w:tc>
      </w:tr>
      <w:tr w:rsidR="00B17990" w:rsidTr="00B17990">
        <w:trPr>
          <w:trHeight w:val="761"/>
        </w:trPr>
        <w:tc>
          <w:tcPr>
            <w:tcW w:w="10752" w:type="dxa"/>
            <w:gridSpan w:val="2"/>
            <w:tcBorders>
              <w:top w:val="nil"/>
              <w:left w:val="single" w:sz="6" w:space="0" w:color="F3F3F3"/>
              <w:bottom w:val="nil"/>
              <w:right w:val="single" w:sz="6" w:space="0" w:color="F3F3F3"/>
            </w:tcBorders>
            <w:shd w:val="clear" w:color="auto" w:fill="F3F3F3"/>
            <w:vAlign w:val="center"/>
            <w:hideMark/>
          </w:tcPr>
          <w:p w:rsidR="00B17990" w:rsidRDefault="00B17990">
            <w:pPr>
              <w:tabs>
                <w:tab w:val="center" w:pos="3303"/>
              </w:tabs>
            </w:pPr>
            <w:r>
              <w:rPr>
                <w:rFonts w:hint="eastAsia"/>
                <w:sz w:val="19"/>
              </w:rPr>
              <w:t>Power Consumption:</w:t>
            </w:r>
            <w:r>
              <w:rPr>
                <w:rFonts w:hint="eastAsia"/>
                <w:sz w:val="19"/>
              </w:rPr>
              <w:tab/>
              <w:t>53.343 W</w:t>
            </w:r>
          </w:p>
          <w:p w:rsidR="00B17990" w:rsidRDefault="00B17990">
            <w:r>
              <w:rPr>
                <w:rFonts w:hint="eastAsia"/>
                <w:sz w:val="19"/>
              </w:rPr>
              <w:t>Operating Mode, Typical</w:t>
            </w:r>
          </w:p>
        </w:tc>
      </w:tr>
    </w:tbl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Սույն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Գնային առաջարկը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ունի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օֆերտայի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իրավական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կարգավիճակ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վավեր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մինչև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----.-----.201--թ.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Սույն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Գնային առաջարկը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համալրվում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հետևյալ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փաստաթղթերով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ներառյալ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անբաժանելի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հավելվածները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.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1.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ab/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Գնային առաջարկ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____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էջերի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վրա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2.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ab/>
      </w:r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որոնք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հաստատում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են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համապատասխանությունը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սահմանված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պահանջներին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,____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էջերի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վրա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ստորագրություն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կնիք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Ստորագրողի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պաշտոնն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ու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ԱԱՀ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sz w:val="22"/>
          <w:szCs w:val="22"/>
          <w:lang w:eastAsia="ru-RU"/>
        </w:rPr>
        <w:t>Ձևի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վերջը</w:t>
      </w: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ab/>
      </w: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lastRenderedPageBreak/>
        <w:t>Լրացման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կանոններ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ձևակերպել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պաշտոնական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ձևաթղթի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վրա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: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ամսաթիվը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համարը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`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կազմակերպությունում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ընդունված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փաստաթղթաշրջանառության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կանոններին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համապատասխան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լրիվ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անվանումը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(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նշելով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կազմակերպաիրավական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)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իրավաբանական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հասցեն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աշխատանքների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կատարման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ապրանքների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մատակարարման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ծառայությունների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մատուցման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արժեքը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թվերով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բառերով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ՀՀ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դրամով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`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ներառյալ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ԱԱՀ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-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ստորագրված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կնքված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լինի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951935" w:rsidRPr="00524D1B" w:rsidRDefault="00951935" w:rsidP="00524D1B"/>
    <w:sectPr w:rsidR="00951935" w:rsidRPr="0052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A"/>
    <w:rsid w:val="000161CA"/>
    <w:rsid w:val="00524D1B"/>
    <w:rsid w:val="008B34BC"/>
    <w:rsid w:val="009147AA"/>
    <w:rsid w:val="00951935"/>
    <w:rsid w:val="009855CA"/>
    <w:rsid w:val="00B1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E591-30B1-4E1A-ABB9-9B75547B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1B"/>
    <w:pPr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179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Mayranush Grigoryan</cp:lastModifiedBy>
  <cp:revision>6</cp:revision>
  <dcterms:created xsi:type="dcterms:W3CDTF">2021-02-24T06:21:00Z</dcterms:created>
  <dcterms:modified xsi:type="dcterms:W3CDTF">2021-02-24T06:26:00Z</dcterms:modified>
</cp:coreProperties>
</file>